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005A3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ПРИЛОЖЕНИЕ </w:t>
      </w:r>
    </w:p>
    <w:p w14:paraId="0091E399" w14:textId="0AFFD6A6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решению    сессии</w:t>
      </w:r>
    </w:p>
    <w:p w14:paraId="77D52278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Совета муниципального образования</w:t>
      </w:r>
    </w:p>
    <w:p w14:paraId="46985725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Темрюкский район</w:t>
      </w:r>
    </w:p>
    <w:p w14:paraId="5D540E11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созыва</w:t>
      </w:r>
    </w:p>
    <w:p w14:paraId="7CAC8407" w14:textId="77777777" w:rsidR="00F816C7" w:rsidRPr="00F816C7" w:rsidRDefault="00F816C7" w:rsidP="00F816C7">
      <w:pPr>
        <w:spacing w:after="0" w:line="240" w:lineRule="auto"/>
        <w:ind w:left="467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u w:val="single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от _________№_______</w:t>
      </w:r>
    </w:p>
    <w:p w14:paraId="0152094B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33B2264" w14:textId="77777777" w:rsidR="00F816C7" w:rsidRPr="00F816C7" w:rsidRDefault="00F816C7" w:rsidP="00F816C7">
      <w:pPr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p w14:paraId="4EA32D3F" w14:textId="77777777" w:rsidR="00F816C7" w:rsidRPr="00F816C7" w:rsidRDefault="00F816C7" w:rsidP="00F816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ИЗМЕНЕНИЯ,</w:t>
      </w:r>
    </w:p>
    <w:p w14:paraId="1315BD3D" w14:textId="0123434D" w:rsidR="00E46920" w:rsidRPr="00E46920" w:rsidRDefault="00F816C7" w:rsidP="00E46920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  <w:r w:rsidRPr="00F816C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вносимые </w:t>
      </w:r>
      <w:bookmarkStart w:id="0" w:name="_Hlk1080510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>в правила землепользования и застройки</w:t>
      </w:r>
      <w:bookmarkStart w:id="1" w:name="_Hlk10802797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 </w:t>
      </w:r>
      <w:bookmarkStart w:id="2" w:name="_Hlk10806444"/>
      <w:bookmarkEnd w:id="1"/>
      <w:r w:rsidR="00E46920" w:rsidRPr="00E4692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Таманского </w:t>
      </w:r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сельского поселения Темрюкского района </w:t>
      </w:r>
      <w:bookmarkStart w:id="3" w:name="_Hlk10806425"/>
      <w:r w:rsidR="00ED21B7" w:rsidRPr="00ED21B7"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  <w:t xml:space="preserve">Краснодарского края, утвержденные решением </w:t>
      </w:r>
      <w:bookmarkStart w:id="4" w:name="_Hlk167097422"/>
      <w:bookmarkEnd w:id="2"/>
      <w:bookmarkEnd w:id="3"/>
      <w:bookmarkEnd w:id="0"/>
      <w:r w:rsidR="00E46920" w:rsidRPr="00E4692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LXXVII</w:t>
      </w:r>
      <w:r w:rsidR="00E46920" w:rsidRPr="00E4692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сессии Совета Таманского сельского поселения Темрюкского района </w:t>
      </w:r>
      <w:r w:rsidR="00E46920" w:rsidRPr="00E4692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val="en-US" w:eastAsia="ru-RU"/>
          <w14:ligatures w14:val="none"/>
        </w:rPr>
        <w:t>II</w:t>
      </w:r>
      <w:r w:rsidR="00E46920" w:rsidRPr="00E4692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созыва от 29 мая 2014 г. № 315 «Об утверждении Правил землепользования и застройки Таманского сельского поселения Темрюкского района»</w:t>
      </w:r>
    </w:p>
    <w:bookmarkEnd w:id="4"/>
    <w:p w14:paraId="31980D54" w14:textId="440992FE" w:rsidR="008709BA" w:rsidRPr="00781015" w:rsidRDefault="008709BA" w:rsidP="008709BA">
      <w:pPr>
        <w:jc w:val="center"/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</w:pPr>
    </w:p>
    <w:p w14:paraId="7BE4D5CD" w14:textId="00AF09BA" w:rsidR="00F816C7" w:rsidRDefault="00F816C7" w:rsidP="00E46920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Внести в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часть </w:t>
      </w:r>
      <w:r w:rsidRPr="00F816C7">
        <w:rPr>
          <w:rFonts w:ascii="Times New Roman" w:eastAsia="Calibri" w:hAnsi="Times New Roman" w:cs="Times New Roman"/>
          <w:kern w:val="0"/>
          <w:sz w:val="28"/>
          <w:lang w:val="en-US"/>
          <w14:ligatures w14:val="none"/>
        </w:rPr>
        <w:t>I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t>. «Порядок применения правил землепользования</w:t>
      </w:r>
      <w:r w:rsidRPr="00F816C7">
        <w:rPr>
          <w:rFonts w:ascii="Times New Roman" w:eastAsia="Calibri" w:hAnsi="Times New Roman" w:cs="Times New Roman"/>
          <w:kern w:val="0"/>
          <w:sz w:val="28"/>
          <w14:ligatures w14:val="none"/>
        </w:rPr>
        <w:br/>
        <w:t>и застройки и внесения изменений в указанные правила»</w:t>
      </w:r>
      <w:r>
        <w:rPr>
          <w:rFonts w:ascii="Times New Roman" w:eastAsia="Calibri" w:hAnsi="Times New Roman" w:cs="Times New Roman"/>
          <w:kern w:val="0"/>
          <w:sz w:val="28"/>
          <w14:ligatures w14:val="none"/>
        </w:rPr>
        <w:t xml:space="preserve"> и 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часть 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III «Градостроительные регламенты» 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правил землепользования и застройки </w:t>
      </w:r>
      <w:r w:rsidR="00E46920"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Таманского</w:t>
      </w:r>
      <w:r w:rsidR="00E46920" w:rsidRPr="00E46920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:lang w:eastAsia="ru-RU"/>
          <w14:ligatures w14:val="none"/>
        </w:rPr>
        <w:t xml:space="preserve"> </w:t>
      </w:r>
      <w:r w:rsidR="00ED21B7" w:rsidRPr="00EE77C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сельского поселения Темрюкского района Краснодарского</w:t>
      </w:r>
      <w:r w:rsidR="00ED21B7" w:rsidRPr="00ED21B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края, утвержденные </w:t>
      </w:r>
      <w:r w:rsidR="00ED21B7"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</w:t>
      </w:r>
      <w:r w:rsidR="00E46920" w:rsidRPr="00E4692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LXXVII</w:t>
      </w:r>
      <w:r w:rsidR="00E46920"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сессии Совета Таманского сельского поселения Темрюкского района </w:t>
      </w:r>
      <w:r w:rsidR="00E46920" w:rsidRPr="00E4692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</w:t>
      </w:r>
      <w:r w:rsidR="00E46920"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созыва от 29 мая 2014 г. № 315 </w:t>
      </w:r>
      <w:r w:rsid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</w:r>
      <w:r w:rsidR="00E46920"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«Об утверждении Правил землепользования и застройки Таманского сельского поселения Темрюкского района»</w:t>
      </w:r>
      <w:r w:rsidR="008709BA"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следующие изменения</w:t>
      </w:r>
      <w:r w:rsidRPr="00F816C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:</w:t>
      </w:r>
    </w:p>
    <w:p w14:paraId="47BD36C3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1) часть 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«Порядок применения правил землепользования и застройки и внесения изменений в указанные правила» дополнить статьей 39.1 следующего содержания:</w:t>
      </w:r>
    </w:p>
    <w:p w14:paraId="40EAAC09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bookmarkStart w:id="5" w:name="_Hlk164252608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Статья 39.1. Правила перевода жилого помещения в нежилое помещение и нежилого помещения в жилое помещение</w:t>
      </w:r>
    </w:p>
    <w:p w14:paraId="05D69CE8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54E1646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Согласно части 10 статьи 23 Жилищного кодекса Российской Федерации 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законодательством требования, в том числе требования к использованию нежилых помещений в многоквартирных домах.</w:t>
      </w:r>
    </w:p>
    <w:p w14:paraId="6FB9326D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 заявлению о переводе индивидуального жилого дома в нежилое помещение должны прикладываться в том числе документы, подтверждающие соблюдение при использовании помещения, после его перевода, требований пожарной безопасности, санитарно-гигиенических, экологических, выданных уполномоченными федеральными органами исполнительной власти, а также настоящих Правил, нормативов градостроительного проектирования Краснодарского края, местных нормативов градостроительного проектирования 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муниципального образования Темрюкский район, местных нормативов градостроительного проектирования Таманского сельского поселения Темрюкского района Краснодарского края.</w:t>
      </w:r>
    </w:p>
    <w:p w14:paraId="2ED065E0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Запрещено осуществлять перевод индивидуального жилого дома в нежилое помещение, в случае если переводимый объект будет относиться к объектам массового пребывания граждан, либо для получения разрешения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на строительство объекта подобной категории требуется проведение экспертизы проектной документации и результатов инженерных изысканий.»;</w:t>
      </w:r>
    </w:p>
    <w:bookmarkEnd w:id="5"/>
    <w:p w14:paraId="0BE119F8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2) в части 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«Градостроительные регламенты» зоны Ж-1. Зона застройки индивидуальными жилыми домами и домами блокированной застройки, 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Ж-2. Зона застройки малоэтажными многоквартирными жилыми домами (не более 4 этажей, включая мансардный), Ж-3. зона застройки среднеэтажными многоквартирными домами (5-8 этажей, включая мансардный), Ж-4. Зона проектируемой жилой застройки, Ж-КН. Зона жилой застройки исторического поселения,</w:t>
      </w:r>
      <w:bookmarkStart w:id="6" w:name="_Hlk164255806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Ж-КН-ОЦ</w:t>
      </w:r>
      <w:bookmarkStart w:id="7" w:name="_Hlk164255823"/>
      <w:bookmarkEnd w:id="6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</w:t>
      </w:r>
      <w:bookmarkEnd w:id="7"/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Зона жилой застройки исторического общественного центра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исторического поселения, ОД-1. Зона общественного центра местного значения, ОД-2. Зона объектов образования и научных комплексов, ОД-3. Зона объектов здравоохранения, ОД-4. Зона объектов историко-культурного развития, ОД-КН. Зона общественно-деловая исторического поселения,</w:t>
      </w:r>
      <w:bookmarkStart w:id="8" w:name="_Hlk164255893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ОД-КН-ОЦ</w:t>
      </w:r>
      <w:bookmarkEnd w:id="8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  <w:bookmarkStart w:id="9" w:name="_Hlk164255940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bookmarkEnd w:id="9"/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Зона общественно-деловая исторического общественного центра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исторического поселения, П-1. Зона предприятий, производств и объектов 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I класса опасности, П-2. Зона предприятий, производств и объектов II класса опасности, П-3. Зона предприятий, производств и объектов II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класса опасности, П-4. Зона предприятий, производств и объектов I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V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класса опасности, П-5. Зона предприятий, производств и объектов V класса опасности, ИТ-1. Зона объектов инженерной инфраструктуры, ИТ-2. Зона объектов транспортной инфраструктуры, ИТ-3. Зона объектов придорожного сервиса, СХ-1. Зона сельскохозяйственных угодий, СХ-2. Зона объектов сельскохозяйственного назначения, Р-1. Зона озелененных территорий общего пользования (лесопарки, парки, сады, скверы, бульвары, городские леса), Р-2. Зона объектов физической культуры и спорта, Р-3. Зона объектов туризма и отдыха, Р-4. Зона пляжей и набережных, Р-5. Зона непригодных под застройку и природных ландшафтов, 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 xml:space="preserve">Р-1 КН. Зона ценного ландшафта, озеленения общего пользования исторического поселения, Р-1 КН-ОЦ. Зона ценного ландшафта, озеленения общего пользования исторического общественного центра исторического поселения, Р-2 КН. Зона историко-культурного ландшафта (перспективная музеефикация), СК. Зона объектов санаторно-курортного назначения, 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СН-1. Зона кладбищ, СН-1 КН. Зона кладбища исторического поселения, В. Зоны военных объектов и иные зоны режимных территорий, ИВ-1. Зона озеленения специального назначения дополнить следующим содержанием:</w:t>
      </w:r>
    </w:p>
    <w:p w14:paraId="55ADFF88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«Согласно части 10 статьи 23 Жилищного кодекса Российской Федерации при использовании помещения после его перевода в качестве жилого или нежилого помещения должны соблюдаться требования пожарной безопасности, санитарно-гигиенические, экологические и иные установленные 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законодательством требования, в том числе требования к использованию нежилых помещений в многоквартирных домах.</w:t>
      </w:r>
    </w:p>
    <w:p w14:paraId="0F30E657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 заявлению о переводе индивидуального жилого дома в нежилое помещение должны прикладываться в том числе документы, подтверждающие соблюдение при использовании помещения, после его перевода, требований пожарной безопасности, санитарно-гигиенических, экологических, выданных уполномоченными федеральными органами исполнительной власти, а также настоящих Правил, нормативов градостроительного проектирования Краснодарского края, местных нормативов градостроительного проектирования муниципального образования Темрюкский район, местных нормативов градостроительного проектирования Таманского сельского поселения Темрюкского района Краснодарского края.</w:t>
      </w:r>
    </w:p>
    <w:p w14:paraId="62015A97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Запрещено осуществлять перевод индивидуального жилого дома в нежилое помещение, в случае если переводимый объект будет относиться к объектам массового пребывания граждан, либо для получения разрешения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br/>
        <w:t>на строительство объекта подобной категории требуется проведение экспертизы проектной документации и результатов инженерных изысканий.»;</w:t>
      </w:r>
    </w:p>
    <w:p w14:paraId="68FD3B87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3) в территориальной зоне </w:t>
      </w:r>
      <w:r w:rsidRPr="00E4692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П-4. </w:t>
      </w:r>
      <w:r w:rsidRPr="00E4692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t>З</w:t>
      </w:r>
      <w:r w:rsidRPr="00E4692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 xml:space="preserve">она предприятий, производств и объектов </w:t>
      </w:r>
      <w:r w:rsidRPr="00E4692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eastAsia="ru-RU"/>
          <w14:ligatures w14:val="none"/>
        </w:rPr>
        <w:br/>
      </w:r>
      <w:r w:rsidRPr="00E46920">
        <w:rPr>
          <w:rFonts w:ascii="Times New Roman" w:eastAsia="Times New Roman" w:hAnsi="Times New Roman" w:cs="Times New Roman"/>
          <w:bCs/>
          <w:iCs/>
          <w:kern w:val="0"/>
          <w:sz w:val="28"/>
          <w:szCs w:val="28"/>
          <w:lang w:val="x-none" w:eastAsia="ru-RU"/>
          <w14:ligatures w14:val="none"/>
        </w:rPr>
        <w:t>IV класса опасности</w:t>
      </w:r>
      <w:r w:rsidRPr="00E4692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, для вида разрешенного использования земельного участка </w:t>
      </w:r>
      <w:r w:rsidRPr="00E4692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br/>
        <w:t>6.4 «Пищевая промышленность» установить предельный минимальный размер земельных участков – 4 000 кв. м;</w:t>
      </w:r>
    </w:p>
    <w:p w14:paraId="55E1A0BA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4) в части 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«Градостроительные регламенты» в зонах Ж-1. Зона застройки индивидуальными жилыми домами и домами блокированной застройки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, 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Ж-КН. Зона жилой застройки исторического поселения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, Ж-КН-ОЦ. Зона жилой застройки исторического общественного центра исторического поселения, ОД-1. Зона общественного центра местного значения, ОД-КН. Зона общественно-деловая исторического поселения,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ОД-КН-ОЦ. Зона общественно-деловая исторического общественного центра исторического поселения, 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br/>
        <w:t>Р-3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>. Зон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 xml:space="preserve"> 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объектов туризма и отдыха, Р-4. Зона пляжей и набережных, СК. Зона объектов санаторно-курортного назначения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предельных размерах земельных участков и предельных параметрах разрешенного строительства вида разрешенного использования 9.2 «Курортная деятельность» слова «Не подлежат установлению в соответствии с ч. 4, ст. 36 Градостроительного кодекса Российской Федерации», «Регламенты не подлежат установлению в соответствии с ч. 4 ст. 36 Градостроительного кодекса Российской Федерации» заменить словами «Регламенты не устанавливаются»;</w:t>
      </w:r>
    </w:p>
    <w:p w14:paraId="4BDFF4FC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5) в части 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«Градостроительные регламенты» в зонах </w:t>
      </w:r>
      <w:bookmarkStart w:id="10" w:name="_Hlk163747058"/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Ж – 4. Зона проектируемой жилой застройки, </w:t>
      </w:r>
      <w:bookmarkStart w:id="11" w:name="_Hlk164258140"/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Р-3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>. Зон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а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 xml:space="preserve"> 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объектов туризма и отдыха</w:t>
      </w:r>
      <w:bookmarkEnd w:id="11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предельных размерах земельных участков и предельных параметрах разрешенного строительства </w:t>
      </w:r>
      <w:bookmarkEnd w:id="10"/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вида разрешенного использования земельных участков 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5.2.1 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«Туристическое обслуживание» дополнить следующими параметрами:</w:t>
      </w:r>
    </w:p>
    <w:p w14:paraId="69C63339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«Для существующих объектов капитального строительства коммерческого и коммунально-бытового назначения, в том числе со встроенно-пристроенными 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lastRenderedPageBreak/>
        <w:t>помещениями, зарегистрированных в органах федеральной службы государственной регистрации, кадастра и картографии в соответствии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br/>
        <w:t>с действующим законодательством, минимальный размер земельного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br/>
        <w:t>участка – 300 кв. м;»;</w:t>
      </w:r>
    </w:p>
    <w:p w14:paraId="73A7FD14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Для образованных земельных участков, в отношении которых осуществлен государственный учет и государственная регистрация прав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br/>
        <w:t>в органах федеральной службы государственной регистрации, кадастра и картографии в соответствии с действующим законодательством, минимальный размер земельного участка – 300 кв. м;».</w:t>
      </w:r>
    </w:p>
    <w:p w14:paraId="0EA4CD46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bookmarkStart w:id="12" w:name="_Hlk164346324"/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6)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в части 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val="en-US" w:eastAsia="ru-RU"/>
          <w14:ligatures w14:val="none"/>
        </w:rPr>
        <w:t>III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«Градостроительные регламенты» в перечень условно разрешенных видов разрешенного использования земельных участков территориальной зоны Ж-2. Зона застройки малоэтажными многоквартирными жилыми домами (не более 4 этажей, включая мансардный), включить вид разрешенного использования земельных участков 2.2 «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ведения личного подсобного хозяйства (приусадебный земельный участок)»*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установив следующие предельные размеры земельных участков и предельные параметры разрешенного строительства:</w:t>
      </w:r>
      <w:bookmarkEnd w:id="12"/>
    </w:p>
    <w:p w14:paraId="6363A436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bookmarkStart w:id="13" w:name="_Hlk166511940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Предельные размеры земельных участков (</w:t>
      </w:r>
      <w:proofErr w:type="spellStart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min</w:t>
      </w:r>
      <w:proofErr w:type="spellEnd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/</w:t>
      </w:r>
      <w:proofErr w:type="spellStart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max</w:t>
      </w:r>
      <w:proofErr w:type="spellEnd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кв. м) – 500/5 000;</w:t>
      </w:r>
    </w:p>
    <w:p w14:paraId="009F84C9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Минимальный отступ строений от красной линии улиц (м) – 5;</w:t>
      </w:r>
    </w:p>
    <w:p w14:paraId="02B5CC58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Минимальный отступ строений от красной линии проездов (м) – 3;</w:t>
      </w:r>
    </w:p>
    <w:p w14:paraId="136CFDBA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Минимальный отступ от границы смежного земельного участка – 3;</w:t>
      </w:r>
    </w:p>
    <w:p w14:paraId="574E788F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Минимальная ширина земельных участков вдоль фронта улицы (проезда) (м) – 12;</w:t>
      </w:r>
    </w:p>
    <w:p w14:paraId="7873E90A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Максимальное количество этажей объектов капитального строительства (этаж) – </w:t>
      </w:r>
      <w:r w:rsidRPr="00E4692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 xml:space="preserve">3 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или 2 с возможностью использования мансардного этажа;</w:t>
      </w:r>
    </w:p>
    <w:p w14:paraId="11C01A20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Максимальная высота ОКС от уровня земли до верха перекрытия последнего этажа (или конька кровли) (м) – 10;</w:t>
      </w:r>
    </w:p>
    <w:p w14:paraId="11B6E9E9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Максимальный процент застройки (%) – 60;</w:t>
      </w:r>
    </w:p>
    <w:p w14:paraId="31385089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Минимальный процент озеленения (%) – не подлежит установлению;</w:t>
      </w:r>
    </w:p>
    <w:p w14:paraId="587656C8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Процент застройки подземной части (%) – не подлежит установлению;</w:t>
      </w:r>
    </w:p>
    <w:p w14:paraId="4EEC2DA4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КПЗ – 0,7.</w:t>
      </w:r>
    </w:p>
    <w:bookmarkEnd w:id="13"/>
    <w:p w14:paraId="559FD780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Примечания:</w:t>
      </w:r>
    </w:p>
    <w:p w14:paraId="701B2B0E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Для существующей застройки минимальный размер земельного участка принимается по расчету согласно СП, МНГП.</w:t>
      </w:r>
    </w:p>
    <w:p w14:paraId="5D4FA4F5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 сложившейся застройке, при ширине земельного участка менее 12 м, для строительства жилого дома минимальный отступ от границы соседнего участка составляет:</w:t>
      </w:r>
    </w:p>
    <w:p w14:paraId="537821FF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для одноэтажного – 1 м;</w:t>
      </w:r>
    </w:p>
    <w:p w14:paraId="42BD090E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для двухэтажного – 1,5 м;</w:t>
      </w:r>
    </w:p>
    <w:p w14:paraId="69113A9F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- для трехэтажного – 2 м, </w:t>
      </w:r>
    </w:p>
    <w:p w14:paraId="5502CC1D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при условии, что расстояние до расположенного на соседнем земельном участке жилого дома не менее 6 м.</w:t>
      </w:r>
    </w:p>
    <w:p w14:paraId="675D5305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Максимальная общая площадь объекта индивидуального жилищного строительства – 300 кв. м.</w:t>
      </w:r>
    </w:p>
    <w:p w14:paraId="0246C288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Максимальная высота объектов индивидуального жилищного строительства для объектов с углом наклона кровли до 15° - 10 м, с углом наклона кровли более 15° - 13 м.</w:t>
      </w:r>
    </w:p>
    <w:p w14:paraId="6FA19B78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Максимальное количество объектов индивидуального жилищного строительства в пределах земельного участка – 1, за исключением существующих объектов, реконструкция которых возможна без уменьшения их несоответствия предельным параметрам разрешенного строительства. </w:t>
      </w:r>
    </w:p>
    <w:p w14:paraId="25D6300D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Максимальная общая площадь отдельно стоящих объектов вспомогательного назначения (за исключением навесов) – не более 50 % от общей площади объекта индивидуального жилищного строительства.</w:t>
      </w:r>
    </w:p>
    <w:p w14:paraId="24FE2B08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Минимальные отступы от границы смежного земельного участка до:</w:t>
      </w:r>
    </w:p>
    <w:p w14:paraId="45C5903F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- жилых зданий - 3 м;</w:t>
      </w:r>
    </w:p>
    <w:p w14:paraId="473B9F85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хозяйственных построек- 1 м;</w:t>
      </w:r>
    </w:p>
    <w:p w14:paraId="55639AF7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построек для содержания скота и птицы – 4 м.</w:t>
      </w:r>
    </w:p>
    <w:p w14:paraId="693CD3EA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Максимальное количество этажей для гаражей и подсобных сооружений (хозяйственных построек) – 1 этаж.</w:t>
      </w:r>
    </w:p>
    <w:p w14:paraId="5D9A9E35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Максимальная высота гаражей и подсобных сооружений (хозяйственных построек) от уровня земли до верха конька кровли - 6 метров, высота помещения не менее 2.4 м.</w:t>
      </w:r>
    </w:p>
    <w:p w14:paraId="0FB44E2B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* - в случае изменения вида разрешенного использования в целях установления соответствия вида разрешенного использования земельных участков классификатору видов разрешенного использования земельных участков применяется в качестве основного вида разрешенного использования земельных участков. Получение разрешения на условно разрешенный вид использования земельных участков не требуется.</w:t>
      </w:r>
    </w:p>
    <w:p w14:paraId="13278537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bookmarkStart w:id="14" w:name="_Hlk164346671"/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7) в части 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val="en-US" w:eastAsia="ru-RU"/>
          <w14:ligatures w14:val="none"/>
        </w:rPr>
        <w:t>III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«Градостроительные регламенты» в перечень основных видов разрешенного использования земельных участков территориальной зоны 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br/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>ОД-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2. 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>Зона объектов образования и научных комплексов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включить вид разрешенного использования земельных участков 3.6 «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Культурное развитие»,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установив следующие предельные размеры земельных участков и предельные параметры разрешенного строительства:</w:t>
      </w:r>
    </w:p>
    <w:bookmarkEnd w:id="14"/>
    <w:p w14:paraId="6E2E4E4B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Предельные размеры земельных участков (</w:t>
      </w:r>
      <w:proofErr w:type="spellStart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min</w:t>
      </w:r>
      <w:proofErr w:type="spellEnd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/ </w:t>
      </w:r>
      <w:proofErr w:type="spellStart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max</w:t>
      </w:r>
      <w:proofErr w:type="spellEnd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кв. м) – 300/10 000;</w:t>
      </w:r>
    </w:p>
    <w:p w14:paraId="017E7FBF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Минимальный отступ строений от красной линии улиц (м) – 5;</w:t>
      </w:r>
    </w:p>
    <w:p w14:paraId="6CF77676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Минимальный отступ строений от красной линии проездов (м) – 5;</w:t>
      </w:r>
    </w:p>
    <w:p w14:paraId="6C886FEC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Минимальный отступ от границы смежного земельного участка – 5;</w:t>
      </w:r>
    </w:p>
    <w:p w14:paraId="493A9B0F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Минимальная ширина земельных участков вдоль фронта улицы (проезда) (м) – 20;</w:t>
      </w:r>
    </w:p>
    <w:p w14:paraId="685B5EB2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Максимальное количество этажей объектов капитального строительства (этаж) – </w:t>
      </w:r>
      <w:r w:rsidRPr="00E4692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3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144CC11D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Максимальная высота ОКС от уровня земли до верха перекрытия последнего этажа (или конька кровли) (м) – 15;</w:t>
      </w:r>
    </w:p>
    <w:p w14:paraId="5F991EF8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Максимальный процент застройки (%) – 60;</w:t>
      </w:r>
    </w:p>
    <w:p w14:paraId="1045FB18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Минимальный процент озеленения (%) – 15;</w:t>
      </w:r>
    </w:p>
    <w:p w14:paraId="67BE89E1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Процент застройки подземной части (%) – не подлежит установлению;</w:t>
      </w:r>
    </w:p>
    <w:p w14:paraId="13BC657E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>КПЗ – не подлежит установлению.</w:t>
      </w:r>
    </w:p>
    <w:p w14:paraId="3D8E43B4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8) в части 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val="en-US" w:eastAsia="ru-RU"/>
          <w14:ligatures w14:val="none"/>
        </w:rPr>
        <w:t>III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«Градостроительные регламенты» в перечень основных видов разрешенного использования земельных участков территориальной зоны 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br/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>ОД-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2. 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>Зона объектов образования и научных комплексов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включить вид разрешенного использования земельных участков 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3.6.1 «Объекты культурно-досуговой деятельности»,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установив следующие предельные размеры земельных участков и предельные параметры разрешенного строительства:</w:t>
      </w:r>
    </w:p>
    <w:p w14:paraId="15C81B52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Предельные размеры земельных участков (</w:t>
      </w:r>
      <w:proofErr w:type="spellStart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min</w:t>
      </w:r>
      <w:proofErr w:type="spellEnd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/ </w:t>
      </w:r>
      <w:proofErr w:type="spellStart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max</w:t>
      </w:r>
      <w:proofErr w:type="spellEnd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кв. м) – 300/5 000;</w:t>
      </w:r>
    </w:p>
    <w:p w14:paraId="38CCE4D8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Минимальный отступ строений от красной линии улиц (м) – 5;</w:t>
      </w:r>
    </w:p>
    <w:p w14:paraId="2773F3F5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Минимальный отступ строений от красной линии проездов (м) – 3;</w:t>
      </w:r>
    </w:p>
    <w:p w14:paraId="2662CE67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Минимальный отступ от границы смежного земельного участка – 3;</w:t>
      </w:r>
    </w:p>
    <w:p w14:paraId="37951B70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Минимальная ширина земельных участков вдоль фронта улицы (проезда) (м) – 20;</w:t>
      </w:r>
    </w:p>
    <w:p w14:paraId="6E4A5F3E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Максимальное количество этажей объектов капитального строительства (этаж) – </w:t>
      </w:r>
      <w:r w:rsidRPr="00E4692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3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3634B945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Максимальная высота ОКС от уровня земли до верха перекрытия последнего этажа (или конька кровли) (м) – 12;</w:t>
      </w:r>
    </w:p>
    <w:p w14:paraId="1FB46DB3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Максимальный процент застройки (%) – 60;</w:t>
      </w:r>
    </w:p>
    <w:p w14:paraId="67E13980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Минимальный процент озеленения (%) – 15;</w:t>
      </w:r>
    </w:p>
    <w:p w14:paraId="4667DCA9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Процент застройки подземной части (%) – не подлежит установлению;</w:t>
      </w:r>
    </w:p>
    <w:p w14:paraId="19890E39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КПЗ – не подлежит установлению.</w:t>
      </w:r>
    </w:p>
    <w:p w14:paraId="39F3577B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9) в части 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val="en-US" w:eastAsia="ru-RU"/>
          <w14:ligatures w14:val="none"/>
        </w:rPr>
        <w:t>III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«Градостроительные регламенты» в перечень основных видов разрешенного использования земельных участков территориальной зоны 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br/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>ИТ-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3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val="x-none" w:eastAsia="ru-RU"/>
          <w14:ligatures w14:val="none"/>
        </w:rPr>
        <w:t>. Зона объектов придорожного сервиса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 включить вид разрешенного использования земельных участков 4.9.1 «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Объекты дорожного сервиса», 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>установив следующие предельные размеры земельных участков и предельные параметры разрешенного строительства:</w:t>
      </w:r>
    </w:p>
    <w:p w14:paraId="476FDB0E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Предельные размеры земельных участков (</w:t>
      </w:r>
      <w:proofErr w:type="spellStart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min</w:t>
      </w:r>
      <w:proofErr w:type="spellEnd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/ </w:t>
      </w:r>
      <w:proofErr w:type="spellStart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max</w:t>
      </w:r>
      <w:proofErr w:type="spellEnd"/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кв. м) – 300/15 000;</w:t>
      </w:r>
    </w:p>
    <w:p w14:paraId="29338BF8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Минимальный отступ строений от красной линии улиц (м) – 5;</w:t>
      </w:r>
    </w:p>
    <w:p w14:paraId="398D6171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Минимальный отступ строений от красной линии проездов (м) – 3;</w:t>
      </w:r>
    </w:p>
    <w:p w14:paraId="7FDFF64D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Минимальный отступ от границы смежного земельного участка – 3;</w:t>
      </w:r>
    </w:p>
    <w:p w14:paraId="4DF8E866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Минимальная ширина земельных участков вдоль фронта улицы (проезда) (м) – 20;</w:t>
      </w:r>
    </w:p>
    <w:p w14:paraId="60F877C8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Максимальное количество этажей объектов капитального строительства (этаж) – </w:t>
      </w:r>
      <w:r w:rsidRPr="00E46920">
        <w:rPr>
          <w:rFonts w:ascii="Times New Roman" w:eastAsia="Times New Roman" w:hAnsi="Times New Roman" w:cs="Times New Roman"/>
          <w:bCs/>
          <w:kern w:val="0"/>
          <w:sz w:val="28"/>
          <w:szCs w:val="28"/>
          <w:lang w:eastAsia="ru-RU"/>
          <w14:ligatures w14:val="none"/>
        </w:rPr>
        <w:t>3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37180E9F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Максимальная высота ОКС от уровня земли до верха перекрытия последнего этажа (или конька кровли) (м) – 15;</w:t>
      </w:r>
    </w:p>
    <w:p w14:paraId="30F5B0DF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Максимальный процент застройки (%) – 60;</w:t>
      </w:r>
    </w:p>
    <w:p w14:paraId="5C8F1CF2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Минимальный процент озеленения (%) – 15;</w:t>
      </w:r>
    </w:p>
    <w:p w14:paraId="79566A1E" w14:textId="77777777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Процент застройки подземной части (%) – не подлежит установлению;</w:t>
      </w:r>
    </w:p>
    <w:p w14:paraId="03320AEC" w14:textId="684E13F6" w:rsidR="00E46920" w:rsidRPr="00E46920" w:rsidRDefault="00E46920" w:rsidP="00E46920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КПЗ – не подлежит установлению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;</w:t>
      </w:r>
    </w:p>
    <w:p w14:paraId="35010A06" w14:textId="1660B9C8" w:rsidR="00D9643A" w:rsidRDefault="00E46920" w:rsidP="00E46920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10) 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части 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val="en-US" w:eastAsia="ru-RU"/>
          <w14:ligatures w14:val="none"/>
        </w:rPr>
        <w:t>III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. «Градостроительные регламенты» в зоне Ж-1. 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Зона застройки индивидуальными жилыми домами и домами блокированной застройки </w:t>
      </w:r>
      <w:r w:rsidRPr="00E4692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исключить из перечня видов 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t xml:space="preserve">разрешенного использования земельных </w:t>
      </w:r>
      <w:r w:rsidRPr="00E46920">
        <w:rPr>
          <w:rFonts w:ascii="Times New Roman" w:eastAsia="Times New Roman" w:hAnsi="Times New Roman" w:cs="Times New Roman"/>
          <w:iCs/>
          <w:kern w:val="0"/>
          <w:sz w:val="28"/>
          <w:szCs w:val="28"/>
          <w:lang w:eastAsia="ru-RU"/>
          <w14:ligatures w14:val="none"/>
        </w:rPr>
        <w:lastRenderedPageBreak/>
        <w:t xml:space="preserve">участков вид разрешенного использования земельных участков 13.1 «Ведение огородничества». </w:t>
      </w:r>
    </w:p>
    <w:p w14:paraId="54411D40" w14:textId="77777777" w:rsidR="00E46920" w:rsidRDefault="00E46920" w:rsidP="00E46920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219CA435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Заместитель главы</w:t>
      </w:r>
    </w:p>
    <w:p w14:paraId="11545714" w14:textId="77777777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муниципального образования </w:t>
      </w:r>
    </w:p>
    <w:p w14:paraId="6B9D5B3A" w14:textId="2873B468" w:rsidR="008F7153" w:rsidRPr="008F7153" w:rsidRDefault="008F7153" w:rsidP="008F7153">
      <w:pPr>
        <w:spacing w:after="1" w:line="240" w:lineRule="auto"/>
        <w:jc w:val="both"/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</w:pP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Темрюкский район                                                                             </w:t>
      </w:r>
      <w:r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 xml:space="preserve">  </w:t>
      </w:r>
      <w:r w:rsidRPr="008F7153">
        <w:rPr>
          <w:rFonts w:ascii="Times New Roman" w:eastAsia="Calibri" w:hAnsi="Times New Roman" w:cs="Times New Roman"/>
          <w:color w:val="000000"/>
          <w:kern w:val="0"/>
          <w:sz w:val="28"/>
          <w:szCs w:val="28"/>
          <w14:ligatures w14:val="none"/>
        </w:rPr>
        <w:t>С.А. Мануйлова</w:t>
      </w:r>
    </w:p>
    <w:p w14:paraId="5000D7C1" w14:textId="77777777" w:rsidR="008F7153" w:rsidRPr="00F816C7" w:rsidRDefault="008F7153" w:rsidP="00F816C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p w14:paraId="14EB0E70" w14:textId="77777777" w:rsidR="00F816C7" w:rsidRPr="00F816C7" w:rsidRDefault="00F816C7" w:rsidP="00F816C7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1895A6FF" w14:textId="77777777" w:rsidR="00F816C7" w:rsidRPr="00F816C7" w:rsidRDefault="00F816C7" w:rsidP="00F816C7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kern w:val="0"/>
          <w:sz w:val="24"/>
          <w:szCs w:val="24"/>
          <w14:ligatures w14:val="none"/>
        </w:rPr>
      </w:pPr>
    </w:p>
    <w:p w14:paraId="05F9EFF1" w14:textId="77777777" w:rsidR="00BC13BB" w:rsidRDefault="00BC13BB"/>
    <w:sectPr w:rsidR="00BC13BB" w:rsidSect="008F7153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EF90CF" w14:textId="77777777" w:rsidR="00F816C7" w:rsidRDefault="00F816C7" w:rsidP="00F816C7">
      <w:pPr>
        <w:spacing w:after="0" w:line="240" w:lineRule="auto"/>
      </w:pPr>
      <w:r>
        <w:separator/>
      </w:r>
    </w:p>
  </w:endnote>
  <w:endnote w:type="continuationSeparator" w:id="0">
    <w:p w14:paraId="72918A42" w14:textId="77777777" w:rsidR="00F816C7" w:rsidRDefault="00F816C7" w:rsidP="00F816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60A003" w14:textId="77777777" w:rsidR="00F816C7" w:rsidRDefault="00F816C7" w:rsidP="00F816C7">
      <w:pPr>
        <w:spacing w:after="0" w:line="240" w:lineRule="auto"/>
      </w:pPr>
      <w:r>
        <w:separator/>
      </w:r>
    </w:p>
  </w:footnote>
  <w:footnote w:type="continuationSeparator" w:id="0">
    <w:p w14:paraId="031CD701" w14:textId="77777777" w:rsidR="00F816C7" w:rsidRDefault="00F816C7" w:rsidP="00F816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74506201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5C23018" w14:textId="0FF007AA" w:rsidR="00F816C7" w:rsidRPr="00F816C7" w:rsidRDefault="00F816C7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816C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F816C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F816C7">
          <w:rPr>
            <w:rFonts w:ascii="Times New Roman" w:hAnsi="Times New Roman" w:cs="Times New Roman"/>
            <w:sz w:val="24"/>
            <w:szCs w:val="24"/>
          </w:rPr>
          <w:t>2</w:t>
        </w:r>
        <w:r w:rsidRPr="00F816C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09F0B91" w14:textId="77777777" w:rsidR="00F816C7" w:rsidRDefault="00F816C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0E3"/>
    <w:rsid w:val="000C7597"/>
    <w:rsid w:val="001313E1"/>
    <w:rsid w:val="002C7644"/>
    <w:rsid w:val="003075E8"/>
    <w:rsid w:val="00307FF5"/>
    <w:rsid w:val="004664A1"/>
    <w:rsid w:val="005B4C7C"/>
    <w:rsid w:val="006D4A45"/>
    <w:rsid w:val="007540E3"/>
    <w:rsid w:val="00765CFC"/>
    <w:rsid w:val="00781015"/>
    <w:rsid w:val="007A3A31"/>
    <w:rsid w:val="007B6A27"/>
    <w:rsid w:val="007F1136"/>
    <w:rsid w:val="00847E89"/>
    <w:rsid w:val="008709BA"/>
    <w:rsid w:val="008E44B3"/>
    <w:rsid w:val="008F7153"/>
    <w:rsid w:val="00A6767F"/>
    <w:rsid w:val="00B25E0F"/>
    <w:rsid w:val="00BB08D7"/>
    <w:rsid w:val="00BC13BB"/>
    <w:rsid w:val="00BE71BC"/>
    <w:rsid w:val="00CD10DD"/>
    <w:rsid w:val="00D02159"/>
    <w:rsid w:val="00D9643A"/>
    <w:rsid w:val="00E46920"/>
    <w:rsid w:val="00E56495"/>
    <w:rsid w:val="00ED21B7"/>
    <w:rsid w:val="00EE77C6"/>
    <w:rsid w:val="00F816C7"/>
    <w:rsid w:val="00FC7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3442FA"/>
  <w15:chartTrackingRefBased/>
  <w15:docId w15:val="{762516FE-C644-4C7C-AD8D-36CBBA8FE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816C7"/>
  </w:style>
  <w:style w:type="paragraph" w:styleId="a5">
    <w:name w:val="footer"/>
    <w:basedOn w:val="a"/>
    <w:link w:val="a6"/>
    <w:uiPriority w:val="99"/>
    <w:unhideWhenUsed/>
    <w:rsid w:val="00F816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81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9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7</Pages>
  <Words>2314</Words>
  <Characters>13195</Characters>
  <Application>Microsoft Office Word</Application>
  <DocSecurity>0</DocSecurity>
  <Lines>109</Lines>
  <Paragraphs>30</Paragraphs>
  <ScaleCrop>false</ScaleCrop>
  <Company/>
  <LinksUpToDate>false</LinksUpToDate>
  <CharactersWithSpaces>15479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Сафонова Юлия Валерьевна</dc:creator>
  <cp:keywords/>
  <dc:description/>
  <cp:lastModifiedBy>Сафонова Юлия Валерьевна</cp:lastModifiedBy>
  <cp:revision>17</cp:revision>
  <dcterms:created xsi:type="dcterms:W3CDTF">2024-05-16T07:24:00Z</dcterms:created>
  <dcterms:modified xsi:type="dcterms:W3CDTF">2024-05-20T08:42:00Z</dcterms:modified>
</cp:coreProperties>
</file>